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10773" w:leader="none"/>
          <w:tab w:val="left" w:pos="10915" w:leader="none"/>
          <w:tab w:val="left" w:pos="11057" w:leader="none"/>
          <w:tab w:val="left" w:pos="1119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Информационная справка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необходимости своевременного обращения при появлении подозрения на заражение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инфекцией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передающейся преимущественно половым путем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left"/>
        <w:spacing w:after="0" w:line="240" w:lineRule="auto"/>
        <w:tabs>
          <w:tab w:val="left" w:pos="10773" w:leader="none"/>
          <w:tab w:val="left" w:pos="10915" w:leader="none"/>
          <w:tab w:val="left" w:pos="11057" w:leader="none"/>
          <w:tab w:val="left" w:pos="1119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10773" w:leader="none"/>
          <w:tab w:val="left" w:pos="10915" w:leader="none"/>
          <w:tab w:val="left" w:pos="11057" w:leader="none"/>
          <w:tab w:val="left" w:pos="11199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Группа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инфекций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передающихся преимущественно половым путем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(далее – ИППП) представлена шестью заболеваниями (сифилис, гонорея, урогенитальный трихомониаз, хламидиоз, герпес аногенитальный, аногенитальные венерические бородавки), входящими 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социально значимых заболеваний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заболеваний, представляющих опасность для окружающих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0773" w:leader="none"/>
          <w:tab w:val="left" w:pos="10915" w:leader="none"/>
          <w:tab w:val="left" w:pos="11057" w:leader="none"/>
          <w:tab w:val="left" w:pos="11199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городе Нижневартовске с 2023 года продолжается рост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заболеваемост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 группе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ИППП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tabs>
          <w:tab w:val="left" w:pos="10773" w:leader="none"/>
          <w:tab w:val="left" w:pos="10915" w:leader="none"/>
          <w:tab w:val="left" w:pos="11057" w:leader="none"/>
          <w:tab w:val="left" w:pos="11199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- 2023 год – 448 случаев,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tabs>
          <w:tab w:val="left" w:pos="10773" w:leader="none"/>
          <w:tab w:val="left" w:pos="10915" w:leader="none"/>
          <w:tab w:val="left" w:pos="11057" w:leader="none"/>
          <w:tab w:val="left" w:pos="11199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- 2024 год – 512 случаев,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tabs>
          <w:tab w:val="left" w:pos="10773" w:leader="none"/>
          <w:tab w:val="left" w:pos="10915" w:leader="none"/>
          <w:tab w:val="left" w:pos="11057" w:leader="none"/>
          <w:tab w:val="left" w:pos="11199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- 2025 год – 573 случая.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0773" w:leader="none"/>
          <w:tab w:val="left" w:pos="10915" w:leader="none"/>
          <w:tab w:val="left" w:pos="11057" w:leader="none"/>
          <w:tab w:val="left" w:pos="11199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Ежегодный прирост составляет +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10,1% в 2024 году,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+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10,5% в 2025 году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tabs>
          <w:tab w:val="left" w:pos="10773" w:leader="none"/>
          <w:tab w:val="left" w:pos="10915" w:leader="none"/>
          <w:tab w:val="left" w:pos="11057" w:leader="none"/>
          <w:tab w:val="left" w:pos="1119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Наибольшее опасение вызывает ситуация с приростом заболеваемости сифилисом в Нижневартовске в 2025 году (+43,2% по отношению к 2024 году)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среди жителей города выявлено в 2025 году </w:t>
      </w:r>
      <w:r>
        <w:rPr>
          <w:rFonts w:ascii="Times New Roman" w:hAnsi="Times New Roman" w:cs="Times New Roman"/>
          <w:sz w:val="28"/>
          <w:szCs w:val="28"/>
        </w:rPr>
        <w:t xml:space="preserve">46 заболевших</w:t>
      </w:r>
      <w:r>
        <w:rPr>
          <w:rFonts w:ascii="Times New Roman" w:hAnsi="Times New Roman" w:cs="Times New Roman"/>
          <w:sz w:val="28"/>
          <w:szCs w:val="28"/>
        </w:rPr>
        <w:t xml:space="preserve"> с диагнозом сифилис</w:t>
      </w:r>
      <w:r>
        <w:rPr>
          <w:rFonts w:ascii="Times New Roman" w:hAnsi="Times New Roman" w:cs="Times New Roman"/>
          <w:sz w:val="28"/>
          <w:szCs w:val="28"/>
        </w:rPr>
        <w:t xml:space="preserve">, при этом: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- 17 человек (37%) имели диагноз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ранний сифилис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- 26 человек (56,5%) – поздний сифилис,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человека (6,5%) – неуточненные формы сифилиса.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по возрасту 46 больных сифилисом нижневартовцев: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- 43 человек (93,5%) – взрослые,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человека (6,5%) – дети (1 - в возрасте до года, 2 – подростки 17 лет).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оциальный статус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43 взрослых больных сифилисом нижневартовцев: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- 24 – работающие (55,8%), в т.ч. 8 человек (18,6%) из бюджетной сферы, 7 из которых имели поздние или скрытые формы болезни;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 – неработающие (23,3%),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- 7 – пенсионеры (16,3%), все - лица с поздней формой сифилиса, получившие ненадлежащую терапию ранее;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– студент (2,3%)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– военнослужащий (2,3%).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профилактики заражения ИППП специалисты Нижневартовского кожно-венерологического диспансера рекомендуют: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родителям ограничить возможность использования детьми информации с негативным контентом, пропагандирующим (прямо или косвенно) половую распущенность;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контактов с людьми, входящими в группу риска</w:t>
      </w:r>
      <w:r>
        <w:rPr>
          <w:sz w:val="28"/>
          <w:szCs w:val="28"/>
        </w:rPr>
        <w:t xml:space="preserve"> по заболеванию ИППП (</w:t>
      </w:r>
      <w:r>
        <w:rPr>
          <w:sz w:val="28"/>
          <w:szCs w:val="28"/>
        </w:rPr>
        <w:t xml:space="preserve">к ним относятся работники секс-индустрии, наркоманы, использующие </w:t>
      </w:r>
      <w:r>
        <w:rPr>
          <w:sz w:val="28"/>
          <w:szCs w:val="28"/>
        </w:rPr>
        <w:t xml:space="preserve">инъекционные наркотики);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избегать случайных половых контактов, так как частая смена партнёров увеличивает риск заражения;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презервативы – барьерный метод контрацепции, который обеспечивает защиту от большинства ИППП, включая ВИЧ; помнить, что презерватив не даёт 100% гарантии;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numPr>
          <w:ilvl w:val="0"/>
          <w:numId w:val="17"/>
        </w:numPr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случайных половых контактах, даже при отсутствии жалоб, целесообразно пройти медицинское обследование;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8"/>
        <w:numPr>
          <w:ilvl w:val="0"/>
          <w:numId w:val="17"/>
        </w:numPr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использовать только свои средства гигиены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(бритву, полотенце, нижнее бельё) - это поможет избежать бытового заражения некоторыми инфекциями;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8"/>
        <w:numPr>
          <w:ilvl w:val="0"/>
          <w:numId w:val="17"/>
        </w:numPr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ри подозрении на ИППП безотлагательно обратиться к врачу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–дерматовенерологу, не заниматься самолечением, так как это может привести к осложнениям и хроническому течению заболевания;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8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если уже есть ИППП, проходить лечение вместе с партнёром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- это необходимо, чтобы избежать повторного заражения и предотвратить передачу инфекции.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Если остались вопросы можно обратиться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колл-центр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Нижневартовского кожно-венерологического диспансера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телефону: (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3466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29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00 (доб. *301#).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698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3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4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  <w:highlight w:val="none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 w:ascii="Times New Roman" w:hAnsi="Times New Roman" w:cs="Times New Roman"/>
        <w:b w:val="0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 w:ascii="Times New Roman" w:hAnsi="Times New Roman" w:cs="Times New Roman"/>
        <w:b w:val="0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3"/>
  </w:num>
  <w:num w:numId="8">
    <w:abstractNumId w:val="3"/>
  </w:num>
  <w:num w:numId="9">
    <w:abstractNumId w:val="25"/>
  </w:num>
  <w:num w:numId="10">
    <w:abstractNumId w:val="22"/>
  </w:num>
  <w:num w:numId="11">
    <w:abstractNumId w:val="23"/>
  </w:num>
  <w:num w:numId="12">
    <w:abstractNumId w:val="20"/>
  </w:num>
  <w:num w:numId="13">
    <w:abstractNumId w:val="10"/>
  </w:num>
  <w:num w:numId="14">
    <w:abstractNumId w:val="14"/>
  </w:num>
  <w:num w:numId="15">
    <w:abstractNumId w:val="17"/>
  </w:num>
  <w:num w:numId="16">
    <w:abstractNumId w:val="0"/>
  </w:num>
  <w:num w:numId="17">
    <w:abstractNumId w:val="21"/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</w:num>
  <w:num w:numId="23">
    <w:abstractNumId w:val="5"/>
  </w:num>
  <w:num w:numId="24">
    <w:abstractNumId w:val="18"/>
  </w:num>
  <w:num w:numId="25">
    <w:abstractNumId w:val="15"/>
  </w:num>
  <w:num w:numId="26">
    <w:abstractNumId w:val="11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83"/>
    <w:link w:val="880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83"/>
    <w:link w:val="881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83"/>
    <w:link w:val="882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9"/>
    <w:next w:val="879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9"/>
    <w:next w:val="879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79"/>
    <w:next w:val="879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3"/>
    <w:link w:val="725"/>
    <w:uiPriority w:val="10"/>
    <w:rPr>
      <w:sz w:val="48"/>
      <w:szCs w:val="48"/>
    </w:rPr>
  </w:style>
  <w:style w:type="paragraph" w:styleId="727">
    <w:name w:val="Subtitle"/>
    <w:basedOn w:val="879"/>
    <w:next w:val="879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79"/>
    <w:next w:val="879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9"/>
    <w:next w:val="879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79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Footnote Text Char"/>
    <w:link w:val="909"/>
    <w:uiPriority w:val="99"/>
    <w:rPr>
      <w:sz w:val="18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3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paragraph" w:styleId="880">
    <w:name w:val="Heading 1"/>
    <w:basedOn w:val="879"/>
    <w:next w:val="879"/>
    <w:link w:val="907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81">
    <w:name w:val="Heading 2"/>
    <w:basedOn w:val="879"/>
    <w:link w:val="90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82">
    <w:name w:val="Heading 3"/>
    <w:basedOn w:val="879"/>
    <w:next w:val="879"/>
    <w:link w:val="902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>
    <w:name w:val="Balloon Text"/>
    <w:basedOn w:val="879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83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>
    <w:name w:val="List Paragraph"/>
    <w:basedOn w:val="879"/>
    <w:link w:val="889"/>
    <w:uiPriority w:val="34"/>
    <w:qFormat/>
    <w:pPr>
      <w:ind w:left="708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Абзац списка Знак"/>
    <w:link w:val="888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List 2"/>
    <w:basedOn w:val="879"/>
    <w:pPr>
      <w:contextualSpacing/>
      <w:ind w:left="566" w:hanging="283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Body Text Indent"/>
    <w:basedOn w:val="879"/>
    <w:link w:val="892"/>
    <w:uiPriority w:val="99"/>
    <w:unhideWhenUsed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 w:customStyle="1">
    <w:name w:val="Основной текст с отступом Знак"/>
    <w:basedOn w:val="883"/>
    <w:link w:val="89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 w:customStyle="1">
    <w:name w:val="futurismarkdown-paragraph"/>
    <w:basedOn w:val="8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>
    <w:name w:val="Strong"/>
    <w:basedOn w:val="883"/>
    <w:uiPriority w:val="22"/>
    <w:qFormat/>
    <w:rPr>
      <w:b/>
      <w:bCs/>
    </w:rPr>
  </w:style>
  <w:style w:type="character" w:styleId="895">
    <w:name w:val="Hyperlink"/>
    <w:basedOn w:val="883"/>
    <w:uiPriority w:val="99"/>
    <w:unhideWhenUsed/>
    <w:rPr>
      <w:color w:val="0000ff"/>
      <w:u w:val="single"/>
    </w:rPr>
  </w:style>
  <w:style w:type="paragraph" w:styleId="896" w:customStyle="1">
    <w:name w:val="default_cursor_cs"/>
    <w:basedOn w:val="8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>
    <w:name w:val="FollowedHyperlink"/>
    <w:basedOn w:val="883"/>
    <w:uiPriority w:val="99"/>
    <w:semiHidden/>
    <w:unhideWhenUsed/>
    <w:rPr>
      <w:color w:val="954f72" w:themeColor="followedHyperlink"/>
      <w:u w:val="single"/>
    </w:rPr>
  </w:style>
  <w:style w:type="character" w:styleId="898">
    <w:name w:val="Emphasis"/>
    <w:basedOn w:val="883"/>
    <w:uiPriority w:val="20"/>
    <w:qFormat/>
    <w:rPr>
      <w:i/>
      <w:iCs/>
    </w:rPr>
  </w:style>
  <w:style w:type="paragraph" w:styleId="899">
    <w:name w:val="List Continue 2"/>
    <w:basedOn w:val="879"/>
    <w:pPr>
      <w:contextualSpacing/>
      <w:ind w:left="566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Заголовок 2 Знак"/>
    <w:basedOn w:val="883"/>
    <w:link w:val="881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01" w:customStyle="1">
    <w:name w:val="sc-bznhio"/>
    <w:basedOn w:val="883"/>
  </w:style>
  <w:style w:type="character" w:styleId="902" w:customStyle="1">
    <w:name w:val="Заголовок 3 Знак"/>
    <w:basedOn w:val="883"/>
    <w:link w:val="882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903">
    <w:name w:val="HTML Preformatted"/>
    <w:basedOn w:val="879"/>
    <w:link w:val="904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4" w:customStyle="1">
    <w:name w:val="Стандартный HTML Знак"/>
    <w:basedOn w:val="883"/>
    <w:link w:val="903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5" w:customStyle="1">
    <w:name w:val="sc-kguayh"/>
    <w:basedOn w:val="8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6">
    <w:name w:val="Table Grid"/>
    <w:basedOn w:val="88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7" w:customStyle="1">
    <w:name w:val="Заголовок 1 Знак"/>
    <w:basedOn w:val="883"/>
    <w:link w:val="88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08" w:customStyle="1">
    <w:name w:val="s_16"/>
    <w:basedOn w:val="8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>
    <w:name w:val="footnote text"/>
    <w:basedOn w:val="879"/>
    <w:link w:val="910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0" w:customStyle="1">
    <w:name w:val="Текст сноски Знак"/>
    <w:basedOn w:val="883"/>
    <w:link w:val="90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1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9403-D994-4C57-9337-A5493EDA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Петрушина Юлия Михайловна</dc:creator>
  <cp:keywords/>
  <dc:description/>
  <cp:revision>98</cp:revision>
  <dcterms:created xsi:type="dcterms:W3CDTF">2026-03-13T12:38:00Z</dcterms:created>
  <dcterms:modified xsi:type="dcterms:W3CDTF">2026-03-31T05:23:27Z</dcterms:modified>
</cp:coreProperties>
</file>